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36A" w:rsidRPr="00F37F95" w:rsidRDefault="00AF136A" w:rsidP="00F37F95">
      <w:pPr>
        <w:spacing w:line="480" w:lineRule="auto"/>
        <w:ind w:firstLine="720"/>
        <w:jc w:val="both"/>
        <w:rPr>
          <w:rFonts w:ascii="Times New Roman" w:hAnsi="Times New Roman" w:cs="Times New Roman"/>
          <w:sz w:val="24"/>
          <w:szCs w:val="24"/>
        </w:rPr>
      </w:pPr>
    </w:p>
    <w:p w:rsidR="00AF136A" w:rsidRPr="00F37F95" w:rsidRDefault="00AF136A" w:rsidP="00F37F95">
      <w:pPr>
        <w:spacing w:line="480" w:lineRule="auto"/>
        <w:ind w:firstLine="720"/>
        <w:jc w:val="both"/>
        <w:rPr>
          <w:rFonts w:ascii="Times New Roman" w:hAnsi="Times New Roman" w:cs="Times New Roman"/>
          <w:sz w:val="24"/>
          <w:szCs w:val="24"/>
        </w:rPr>
      </w:pPr>
    </w:p>
    <w:p w:rsidR="00AF136A" w:rsidRPr="00F37F95" w:rsidRDefault="00AF136A" w:rsidP="00F37F95">
      <w:pPr>
        <w:spacing w:line="480" w:lineRule="auto"/>
        <w:ind w:firstLine="720"/>
        <w:jc w:val="both"/>
        <w:rPr>
          <w:rFonts w:ascii="Times New Roman" w:hAnsi="Times New Roman" w:cs="Times New Roman"/>
          <w:sz w:val="24"/>
          <w:szCs w:val="24"/>
        </w:rPr>
      </w:pPr>
    </w:p>
    <w:p w:rsidR="00AF136A" w:rsidRPr="00F37F95" w:rsidRDefault="00AF136A" w:rsidP="00F37F95">
      <w:pPr>
        <w:spacing w:line="480" w:lineRule="auto"/>
        <w:ind w:firstLine="720"/>
        <w:jc w:val="both"/>
        <w:rPr>
          <w:rFonts w:ascii="Times New Roman" w:hAnsi="Times New Roman" w:cs="Times New Roman"/>
          <w:sz w:val="24"/>
          <w:szCs w:val="24"/>
        </w:rPr>
      </w:pPr>
    </w:p>
    <w:p w:rsidR="00AF136A" w:rsidRPr="00F37F95" w:rsidRDefault="00AF136A" w:rsidP="00F37F95">
      <w:pPr>
        <w:spacing w:line="480" w:lineRule="auto"/>
        <w:ind w:firstLine="720"/>
        <w:jc w:val="both"/>
        <w:rPr>
          <w:rFonts w:ascii="Times New Roman" w:hAnsi="Times New Roman" w:cs="Times New Roman"/>
          <w:sz w:val="24"/>
          <w:szCs w:val="24"/>
        </w:rPr>
      </w:pP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sz w:val="24"/>
          <w:szCs w:val="24"/>
        </w:rPr>
        <w:t>Estudio descriptivo vs inferencial</w:t>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sz w:val="24"/>
          <w:szCs w:val="24"/>
        </w:rPr>
        <w:t>Nombre</w:t>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sz w:val="24"/>
          <w:szCs w:val="24"/>
        </w:rPr>
        <w:t>Institución</w:t>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sz w:val="24"/>
          <w:szCs w:val="24"/>
        </w:rPr>
        <w:t>Curso</w:t>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sz w:val="24"/>
          <w:szCs w:val="24"/>
        </w:rPr>
        <w:t>Instructor</w:t>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sz w:val="24"/>
          <w:szCs w:val="24"/>
        </w:rPr>
        <w:t>Fecha</w:t>
      </w:r>
    </w:p>
    <w:p w:rsidR="001B52C8" w:rsidRPr="00F37F95" w:rsidRDefault="001B52C8"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br w:type="page"/>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sz w:val="24"/>
          <w:szCs w:val="24"/>
        </w:rPr>
        <w:lastRenderedPageBreak/>
        <w:t>Estudio descriptivo vs inferencial</w:t>
      </w:r>
    </w:p>
    <w:p w:rsidR="001B52C8" w:rsidRPr="00F37F95" w:rsidRDefault="001B52C8"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El estudio descriptivo incluye recopilar datos de un grupo y resumirlos para derivar observaciones del grupo. El análisis de los datos se realiza para derivar conclusiones. Un estudio inferencial incluye la recopilación de datos de una muestra de una población y el uso de los datos para realizar observaciones y derivar conclusiones sobre la población en general. Este tipo de estudio tiene como objetivo recopilar datos de una muestra y utilizarlos para generalizar a toda la población. Existen diferencias entre los dos tipos de investigación, incluido el tipo de población estudiada, los métodos utilizados y las razones del investigador para utilizar un método sobre el otro.</w:t>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b/>
          <w:sz w:val="24"/>
          <w:szCs w:val="24"/>
        </w:rPr>
        <w:t>Población</w:t>
      </w:r>
    </w:p>
    <w:p w:rsidR="001B52C8" w:rsidRPr="00F37F95" w:rsidRDefault="001B52C8"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Las poblaciones sobre las que se estudian los enfoques descriptivo e inferencial son diferentes. El uso del enfoque descriptivo para estudiar una población en particular recopila datos de todo el grupo de interés. Las observaciones hechas a partir de los datos se utilizan para sacar conclusiones con respecto solo a ese grupo. El enfoque inferencial, sin embargo, estudia las poblaciones de manera diferente. Los investigadores en este enfoque identifican el grupo que les gustaría examinar y seleccionan una muestra de la población para recopilar los datos. Las observaciones se extraen de los datos recopilados y se extraen conclusiones. La conclusión extraída de una muestra de la población se utiliza para generalizar toda la población de la que se tomó la muestra (Zwick, Thayer y Mazzeo, 2017).</w:t>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b/>
          <w:sz w:val="24"/>
          <w:szCs w:val="24"/>
        </w:rPr>
        <w:t>Métodos</w:t>
      </w:r>
    </w:p>
    <w:p w:rsidR="001B52C8" w:rsidRPr="00F37F95" w:rsidRDefault="001B52C8"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 xml:space="preserve">Se aplican diferentes métodos en la recolección de datos, además de resumir los datos para llegar a conclusiones. Los investigadores utilizan métodos de muestreo, como el muestreo </w:t>
      </w:r>
      <w:r w:rsidRPr="00F37F95">
        <w:rPr>
          <w:rFonts w:ascii="Times New Roman" w:hAnsi="Times New Roman" w:cs="Times New Roman"/>
          <w:sz w:val="24"/>
          <w:szCs w:val="24"/>
        </w:rPr>
        <w:lastRenderedPageBreak/>
        <w:t>aleatorio, para seleccionar el grupo del que se recopilan los datos en el enfoque inferencial. La muestra aleatoria se utiliza como representativa de todo el grupo. Los métodos para analizar los datos y llegar a conclusiones incluyen la estimación y el error de muestreo y una distribución de probabilidad para generalizar la población en general. En el enfoque descriptivo, los datos se recopilan de la población de interés. La muestra seleccionada incluye toda la población que interesa al investigador. El análisis y las conclusiones derivadas de los datos se utilizan para describir el grupo en estudio. El enfoque incluye principalmente medidas de tendencia central para identificar las características comunes de las poblaciones y determinar cómo se disemina una población. Los datos recopilados se pueden tabular y graficar para comparar las diferentes medidas de la población (Al-Benna, Al-Ajam, Way y Steinstraesser, 2016).</w:t>
      </w:r>
    </w:p>
    <w:p w:rsidR="001B52C8" w:rsidRPr="00F37F95" w:rsidRDefault="001B52C8" w:rsidP="00F37F95">
      <w:pPr>
        <w:spacing w:line="480" w:lineRule="auto"/>
        <w:ind w:firstLine="720"/>
        <w:jc w:val="both"/>
        <w:rPr>
          <w:rFonts w:ascii="Times New Roman" w:hAnsi="Times New Roman" w:cs="Times New Roman"/>
          <w:b/>
          <w:sz w:val="24"/>
          <w:szCs w:val="24"/>
        </w:rPr>
      </w:pPr>
      <w:r w:rsidRPr="00F37F95">
        <w:rPr>
          <w:rFonts w:ascii="Times New Roman" w:hAnsi="Times New Roman" w:cs="Times New Roman"/>
          <w:b/>
          <w:sz w:val="24"/>
          <w:szCs w:val="24"/>
        </w:rPr>
        <w:t>Razones para utilizar cada método de estudio</w:t>
      </w:r>
    </w:p>
    <w:p w:rsidR="001B52C8" w:rsidRPr="00F37F95" w:rsidRDefault="001B52C8"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 xml:space="preserve">Hay diferentes razones por las que los investigadores prefieren un método de estudio sobre el otro. La investigación inferencial incluye métodos para estudiar una población mediante la selección de una muestra. A diferencia del uso de toda la población en el estudio, las muestras pequeñas son más fáciles de trabajar y requieren menos tiempo. Los investigadores con menos tiempo pueden preferir el enfoque inferencial al enfoque descriptivo cuando se trata de una población enorme, en la que la recopilación de datos puede llevar mucho tiempo. Los dos sistemas tienen diferentes niveles de precisión. Con el método descriptivo, las conclusiones extraídas sobre una población en particular se hacen a partir de los datos de la población. Esto hace que los hallazgos sean más precisos y válidos al describir la población. El estudio inferencial incluye tomar una decisión con respecto a una población más grande en función de los datos recopilados en una muestra de población. La generalización de la población utilizando datos recopilados de una muestra aleatoria puede carecer de precisión cuando todas las características no se distribuyen </w:t>
      </w:r>
      <w:r w:rsidRPr="00F37F95">
        <w:rPr>
          <w:rFonts w:ascii="Times New Roman" w:hAnsi="Times New Roman" w:cs="Times New Roman"/>
          <w:sz w:val="24"/>
          <w:szCs w:val="24"/>
        </w:rPr>
        <w:lastRenderedPageBreak/>
        <w:t>uniformemente dentro de la población. El enfoque requiere confianza cuando se utilizan los atributos de una población más pequeña para describir una población más grande (Sullivan-Bolyai y Bova, 2014).</w:t>
      </w:r>
    </w:p>
    <w:p w:rsidR="002529E3" w:rsidRPr="00F37F95" w:rsidRDefault="002529E3"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Un ejemplo de estadísticas descriptivas es el uso de la información del censo por un país para determinar el nivel de ingresos de los ciudadanos. Los datos se recopilan de todos los ciudadanos y se utilizan para describirlos. Las estadísticas inferenciales pueden incluir la recopilación de opiniones de las personas a través de la radio con respecto a un tema urgente. Las opiniones recopiladas luego se utilizan para sacar conclusiones sobre las opiniones de todas las personas de la región.</w:t>
      </w:r>
    </w:p>
    <w:p w:rsidR="00BE6FDF" w:rsidRPr="00A93299" w:rsidRDefault="00BE6FDF" w:rsidP="00A93299">
      <w:pPr>
        <w:spacing w:line="480" w:lineRule="auto"/>
        <w:ind w:firstLine="720"/>
        <w:jc w:val="center"/>
        <w:rPr>
          <w:rFonts w:ascii="Times New Roman" w:hAnsi="Times New Roman" w:cs="Times New Roman"/>
          <w:b/>
          <w:sz w:val="24"/>
          <w:szCs w:val="24"/>
        </w:rPr>
      </w:pPr>
      <w:r w:rsidRPr="00A93299">
        <w:rPr>
          <w:rFonts w:ascii="Times New Roman" w:hAnsi="Times New Roman" w:cs="Times New Roman"/>
          <w:b/>
          <w:sz w:val="24"/>
          <w:szCs w:val="24"/>
        </w:rPr>
        <w:t>Diferencia entre cuantitativo y cualitativo</w:t>
      </w:r>
    </w:p>
    <w:p w:rsidR="00BE6FDF" w:rsidRPr="00F37F95" w:rsidRDefault="00BE6FDF"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 xml:space="preserve">Los datos de investigación cuantitativos involucran los datos que caracterizan o aproximan. Se centra en el descubrimiento de hechos relacionados con fenómenos. Los datos de la investigación cuantitativa se recopilan mediante la medición de cosas y se analizan numéricamente acompañados de inferencias estadísticas. En la mayoría de los casos, los datos de la investigación cuantitativa se informa mediante el uso de análisis estadísticos. Se trata de valores numéricos. Por otro lado, los datos de la investigación cualitativa tienen que ver con la comprensión del comportamiento de los seres humanos desde la perspectiva de un informante. Se obtiene mediante entrevistas y observación de los participantes. Análisis de datos de una investigación cualitativa a través de temas de descripción de informantes </w:t>
      </w:r>
      <w:bookmarkStart w:id="0" w:name="_GoBack"/>
      <w:bookmarkEnd w:id="0"/>
      <w:r w:rsidRPr="00F37F95">
        <w:rPr>
          <w:rFonts w:ascii="Times New Roman" w:hAnsi="Times New Roman" w:cs="Times New Roman"/>
          <w:sz w:val="24"/>
          <w:szCs w:val="24"/>
        </w:rPr>
        <w:t>y reportados por medio del lenguaje del informante.</w:t>
      </w:r>
    </w:p>
    <w:p w:rsidR="00BE6FDF" w:rsidRPr="00A93299" w:rsidRDefault="00BE6FDF" w:rsidP="00A93299">
      <w:pPr>
        <w:spacing w:line="480" w:lineRule="auto"/>
        <w:ind w:firstLine="720"/>
        <w:jc w:val="center"/>
        <w:rPr>
          <w:rFonts w:ascii="Times New Roman" w:hAnsi="Times New Roman" w:cs="Times New Roman"/>
          <w:b/>
          <w:sz w:val="24"/>
          <w:szCs w:val="24"/>
        </w:rPr>
      </w:pPr>
      <w:r w:rsidRPr="00A93299">
        <w:rPr>
          <w:rFonts w:ascii="Times New Roman" w:hAnsi="Times New Roman" w:cs="Times New Roman"/>
          <w:b/>
          <w:sz w:val="24"/>
          <w:szCs w:val="24"/>
        </w:rPr>
        <w:t>Papel de los datos de investigación cuantitativa</w:t>
      </w:r>
    </w:p>
    <w:p w:rsidR="00BE6FDF" w:rsidRPr="00F37F95" w:rsidRDefault="00BE6FDF"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 xml:space="preserve">Los datos de investigación cualitativa son muy críticos en cualquier forma de investigación, especialmente en la atención médica. Es útil comprender o determinar ciertos rasgos en los </w:t>
      </w:r>
      <w:r w:rsidRPr="00F37F95">
        <w:rPr>
          <w:rFonts w:ascii="Times New Roman" w:hAnsi="Times New Roman" w:cs="Times New Roman"/>
          <w:sz w:val="24"/>
          <w:szCs w:val="24"/>
        </w:rPr>
        <w:lastRenderedPageBreak/>
        <w:t>entornos de atención médica. Para los estadísticos, estos datos les permiten la formación de parámetros, lo que facilita la observación de grandes conjuntos de datos. En entornos sanitarios, este tipo de datos ayuda a los observadores a cuantificar diferentes fenómenos sanitarios en el lugar de trabajo.</w:t>
      </w:r>
    </w:p>
    <w:p w:rsidR="002529E3" w:rsidRPr="00F37F95" w:rsidRDefault="00BE6FDF"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Los datos de la investigación cuantitativa son esenciales para especificar explícitamente lo que se ha medido y cómo se ha medido para ayudar al investigador a descubrir el comportamiento, la emoción, la motivación, así como la recopilación cuantitativa de datos de datos para ser vistos como mejor estructurados.</w:t>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b/>
          <w:sz w:val="24"/>
          <w:szCs w:val="24"/>
        </w:rPr>
        <w:t>Conclusión</w:t>
      </w:r>
    </w:p>
    <w:p w:rsidR="001B52C8" w:rsidRPr="00F37F95" w:rsidRDefault="001B52C8"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Los enfoques descriptivos e inferenciales en el estudio de poblaciones pueden diferir de diferentes maneras. La investigación descriptiva describe una población basada en los datos recopilados sobre esa población, a diferencia del enfoque inferencial, que utiliza una muestra para representar a la población en general. Se utilizan diferentes métodos para llegar a las conclusiones finales en ambos tipos de estudios. El estudio descriptivo es más preciso cuando se investigan poblaciones más pequeñas y más aplicable para invalidar o refutar la hipótesis (Al-Benna, Al-Ajam, Way y Steinstraesser, 2016).</w:t>
      </w:r>
    </w:p>
    <w:p w:rsidR="001B52C8" w:rsidRPr="00F37F95" w:rsidRDefault="001B52C8"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br w:type="page"/>
      </w:r>
    </w:p>
    <w:p w:rsidR="001B52C8" w:rsidRPr="00F37F95" w:rsidRDefault="001B52C8" w:rsidP="00F37F95">
      <w:pPr>
        <w:spacing w:line="480" w:lineRule="auto"/>
        <w:ind w:firstLine="720"/>
        <w:jc w:val="center"/>
        <w:rPr>
          <w:rFonts w:ascii="Times New Roman" w:hAnsi="Times New Roman" w:cs="Times New Roman"/>
          <w:sz w:val="24"/>
          <w:szCs w:val="24"/>
        </w:rPr>
      </w:pPr>
      <w:r w:rsidRPr="00F37F95">
        <w:rPr>
          <w:rFonts w:ascii="Times New Roman" w:hAnsi="Times New Roman" w:cs="Times New Roman"/>
          <w:b/>
          <w:sz w:val="24"/>
          <w:szCs w:val="24"/>
        </w:rPr>
        <w:lastRenderedPageBreak/>
        <w:t>Referencias</w:t>
      </w:r>
    </w:p>
    <w:p w:rsidR="001B52C8" w:rsidRPr="00F37F95" w:rsidRDefault="001B52C8" w:rsidP="00F37F95">
      <w:pPr>
        <w:spacing w:line="480" w:lineRule="auto"/>
        <w:ind w:left="720" w:hanging="720"/>
        <w:jc w:val="both"/>
        <w:rPr>
          <w:rFonts w:ascii="Times New Roman" w:hAnsi="Times New Roman" w:cs="Times New Roman"/>
          <w:sz w:val="24"/>
          <w:szCs w:val="24"/>
        </w:rPr>
      </w:pPr>
      <w:r w:rsidRPr="00F37F95">
        <w:rPr>
          <w:rFonts w:ascii="Times New Roman" w:hAnsi="Times New Roman" w:cs="Times New Roman"/>
          <w:sz w:val="24"/>
          <w:szCs w:val="24"/>
        </w:rPr>
        <w:t>Al-Benna, S., Al-Ajam, Y., Way, B. y Steinstraesser, L. (2016). Métodos estadísticos descriptivos e inferenciales utilizados en la investigación de quemaduras. Quemaduras, 36 (3), 343-346.</w:t>
      </w:r>
    </w:p>
    <w:p w:rsidR="001B52C8" w:rsidRPr="00F37F95" w:rsidRDefault="001B52C8" w:rsidP="00F37F95">
      <w:pPr>
        <w:spacing w:line="480" w:lineRule="auto"/>
        <w:ind w:left="720" w:hanging="720"/>
        <w:jc w:val="both"/>
        <w:rPr>
          <w:rFonts w:ascii="Times New Roman" w:hAnsi="Times New Roman" w:cs="Times New Roman"/>
          <w:sz w:val="24"/>
          <w:szCs w:val="24"/>
        </w:rPr>
      </w:pPr>
      <w:r w:rsidRPr="00F37F95">
        <w:rPr>
          <w:rFonts w:ascii="Times New Roman" w:hAnsi="Times New Roman" w:cs="Times New Roman"/>
          <w:sz w:val="24"/>
          <w:szCs w:val="24"/>
        </w:rPr>
        <w:t>Sullivan-Bolyai, S. y Bova, C. (2014). Análisis de datos: Estudio descriptivo e inferencial. Libro electrónico de investigación en enfermería: Métodos y evaluación crítica para la práctica basada en la evidencia, 310.</w:t>
      </w:r>
    </w:p>
    <w:p w:rsidR="001B52C8" w:rsidRPr="00F37F95" w:rsidRDefault="001B52C8" w:rsidP="00F37F95">
      <w:pPr>
        <w:spacing w:line="480" w:lineRule="auto"/>
        <w:ind w:left="720" w:hanging="720"/>
        <w:jc w:val="both"/>
        <w:rPr>
          <w:rFonts w:ascii="Times New Roman" w:hAnsi="Times New Roman" w:cs="Times New Roman"/>
          <w:sz w:val="24"/>
          <w:szCs w:val="24"/>
        </w:rPr>
      </w:pPr>
      <w:r w:rsidRPr="00F37F95">
        <w:rPr>
          <w:rFonts w:ascii="Times New Roman" w:hAnsi="Times New Roman" w:cs="Times New Roman"/>
          <w:sz w:val="24"/>
          <w:szCs w:val="24"/>
        </w:rPr>
        <w:t>Zwick, R., Thayer, D. T. y Mazzeo, J. (2017). Procedimientos descriptivos e inferenciales para evaluar el funcionamiento diferencial de los ítems en ítems politómicos. Medición aplicada en educación, 10 (4), 321-344.</w:t>
      </w:r>
    </w:p>
    <w:p w:rsidR="001B52C8" w:rsidRPr="00F37F95" w:rsidRDefault="001B52C8" w:rsidP="00F37F95">
      <w:pPr>
        <w:spacing w:line="480" w:lineRule="auto"/>
        <w:ind w:firstLine="720"/>
        <w:jc w:val="both"/>
        <w:rPr>
          <w:rFonts w:ascii="Times New Roman" w:hAnsi="Times New Roman" w:cs="Times New Roman"/>
          <w:sz w:val="24"/>
          <w:szCs w:val="24"/>
        </w:rPr>
      </w:pPr>
      <w:r w:rsidRPr="00F37F95">
        <w:rPr>
          <w:rFonts w:ascii="Times New Roman" w:hAnsi="Times New Roman" w:cs="Times New Roman"/>
          <w:sz w:val="24"/>
          <w:szCs w:val="24"/>
        </w:rPr>
        <w:t xml:space="preserve"> </w:t>
      </w:r>
    </w:p>
    <w:sectPr w:rsidR="001B52C8" w:rsidRPr="00F37F95" w:rsidSect="002C12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40EA" w:rsidRDefault="00BC40EA">
      <w:pPr>
        <w:spacing w:after="0" w:line="240" w:lineRule="auto"/>
      </w:pPr>
      <w:r>
        <w:separator/>
      </w:r>
    </w:p>
  </w:endnote>
  <w:endnote w:type="continuationSeparator" w:id="0">
    <w:p w:rsidR="00BC40EA" w:rsidRDefault="00BC4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40EA" w:rsidRDefault="00BC40EA">
      <w:pPr>
        <w:spacing w:after="0" w:line="240" w:lineRule="auto"/>
      </w:pPr>
      <w:r>
        <w:separator/>
      </w:r>
    </w:p>
  </w:footnote>
  <w:footnote w:type="continuationSeparator" w:id="0">
    <w:p w:rsidR="00BC40EA" w:rsidRDefault="00BC40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52C8" w:rsidRPr="001B52C8" w:rsidRDefault="001B52C8" w:rsidP="001B52C8">
    <w:pPr>
      <w:rPr>
        <w:rFonts w:ascii="Times New Roman" w:hAnsi="Times New Roman" w:cs="Times New Roman"/>
        <w:sz w:val="24"/>
        <w:szCs w:val="24"/>
      </w:rPr>
    </w:pPr>
    <w:r w:rsidRPr="001B52C8">
      <w:rPr>
        <w:rFonts w:ascii="Times New Roman" w:hAnsi="Times New Roman" w:cs="Times New Roman"/>
        <w:sz w:val="24"/>
        <w:szCs w:val="24"/>
      </w:rPr>
      <w:t>DESCRIPTIVO VS. ENFOQUE INFERENCIAL</w:t>
    </w:r>
    <w:r>
      <w:rPr>
        <w:rFonts w:ascii="Times New Roman" w:hAnsi="Times New Roman" w:cs="Times New Roman"/>
        <w:sz w:val="24"/>
        <w:szCs w:val="24"/>
      </w:rPr>
      <w:t xml:space="preserve">                                                                          </w:t>
    </w:r>
    <w:sdt>
      <w:sdtPr>
        <w:id w:val="-11007197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0F3E">
          <w:rPr>
            <w:noProof/>
          </w:rPr>
          <w:t>5</w:t>
        </w:r>
        <w:r>
          <w:rPr>
            <w:noProof/>
          </w:rPr>
          <w:fldChar w:fldCharType="end"/>
        </w:r>
      </w:sdtContent>
    </w:sdt>
  </w:p>
  <w:p w:rsidR="002C1245" w:rsidRDefault="002C12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1245" w:rsidRPr="003028A7" w:rsidRDefault="003028A7" w:rsidP="003028A7">
    <w:pPr>
      <w:spacing w:line="480" w:lineRule="auto"/>
      <w:rPr>
        <w:rFonts w:ascii="Times New Roman" w:hAnsi="Times New Roman" w:cs="Times New Roman"/>
        <w:sz w:val="24"/>
        <w:szCs w:val="24"/>
      </w:rPr>
    </w:pPr>
    <w:r w:rsidRPr="003028A7">
      <w:rPr>
        <w:rFonts w:ascii="Times New Roman" w:hAnsi="Times New Roman" w:cs="Times New Roman"/>
        <w:sz w:val="24"/>
        <w:szCs w:val="24"/>
      </w:rPr>
      <w:t xml:space="preserve">Ejecutando HEAD: DESCRIPTIVO VS. ENFOQUE INFERENCIAL </w:t>
    </w:r>
    <w:r>
      <w:rPr>
        <w:rFonts w:ascii="Times New Roman" w:hAnsi="Times New Roman" w:cs="Times New Roman"/>
        <w:sz w:val="24"/>
        <w:szCs w:val="24"/>
      </w:rPr>
      <w:t xml:space="preserve">                                        </w:t>
    </w:r>
    <w:r w:rsidR="009B1646" w:rsidRPr="003028A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020D"/>
    <w:rsid w:val="00020F3E"/>
    <w:rsid w:val="000B008C"/>
    <w:rsid w:val="00116D3B"/>
    <w:rsid w:val="0012635F"/>
    <w:rsid w:val="00173C3A"/>
    <w:rsid w:val="00175D66"/>
    <w:rsid w:val="00187FF7"/>
    <w:rsid w:val="0019062C"/>
    <w:rsid w:val="00192F28"/>
    <w:rsid w:val="001B52C8"/>
    <w:rsid w:val="001F5E49"/>
    <w:rsid w:val="002126B4"/>
    <w:rsid w:val="00243608"/>
    <w:rsid w:val="002529E3"/>
    <w:rsid w:val="00263C70"/>
    <w:rsid w:val="002731A2"/>
    <w:rsid w:val="002C1245"/>
    <w:rsid w:val="003028A7"/>
    <w:rsid w:val="0032475B"/>
    <w:rsid w:val="0033717D"/>
    <w:rsid w:val="003773B7"/>
    <w:rsid w:val="003F7029"/>
    <w:rsid w:val="00420CD3"/>
    <w:rsid w:val="0048624C"/>
    <w:rsid w:val="004937A9"/>
    <w:rsid w:val="004D0212"/>
    <w:rsid w:val="005335F9"/>
    <w:rsid w:val="005965B4"/>
    <w:rsid w:val="005C68B0"/>
    <w:rsid w:val="005D7D91"/>
    <w:rsid w:val="005F1C37"/>
    <w:rsid w:val="006F1D78"/>
    <w:rsid w:val="0075005D"/>
    <w:rsid w:val="007643C3"/>
    <w:rsid w:val="0077080A"/>
    <w:rsid w:val="007C27C9"/>
    <w:rsid w:val="007C52D9"/>
    <w:rsid w:val="00832270"/>
    <w:rsid w:val="0084354B"/>
    <w:rsid w:val="00852A17"/>
    <w:rsid w:val="00880EC5"/>
    <w:rsid w:val="008950AC"/>
    <w:rsid w:val="008A25C5"/>
    <w:rsid w:val="008B1376"/>
    <w:rsid w:val="008D64C1"/>
    <w:rsid w:val="008E2069"/>
    <w:rsid w:val="008F062C"/>
    <w:rsid w:val="0092015C"/>
    <w:rsid w:val="009378A6"/>
    <w:rsid w:val="00940CD3"/>
    <w:rsid w:val="00982F04"/>
    <w:rsid w:val="009876ED"/>
    <w:rsid w:val="009B1646"/>
    <w:rsid w:val="009C5666"/>
    <w:rsid w:val="009D60CD"/>
    <w:rsid w:val="009F0F9F"/>
    <w:rsid w:val="00A170C7"/>
    <w:rsid w:val="00A93299"/>
    <w:rsid w:val="00AE4F77"/>
    <w:rsid w:val="00AF136A"/>
    <w:rsid w:val="00BA27E9"/>
    <w:rsid w:val="00BC40EA"/>
    <w:rsid w:val="00BE6FDF"/>
    <w:rsid w:val="00C0600A"/>
    <w:rsid w:val="00C41A73"/>
    <w:rsid w:val="00CA5FEA"/>
    <w:rsid w:val="00CA7870"/>
    <w:rsid w:val="00DC097C"/>
    <w:rsid w:val="00E148F5"/>
    <w:rsid w:val="00E3275E"/>
    <w:rsid w:val="00E7260E"/>
    <w:rsid w:val="00E842EF"/>
    <w:rsid w:val="00EA020D"/>
    <w:rsid w:val="00F0501E"/>
    <w:rsid w:val="00F37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377445-4E11-484E-ABDE-C80075283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0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2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245"/>
  </w:style>
  <w:style w:type="paragraph" w:styleId="Footer">
    <w:name w:val="footer"/>
    <w:basedOn w:val="Normal"/>
    <w:link w:val="FooterChar"/>
    <w:uiPriority w:val="99"/>
    <w:unhideWhenUsed/>
    <w:rsid w:val="002C12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245"/>
  </w:style>
  <w:style w:type="paragraph" w:styleId="HTMLPreformatted">
    <w:name w:val="HTML Preformatted"/>
    <w:basedOn w:val="Normal"/>
    <w:link w:val="HTMLPreformattedChar"/>
    <w:uiPriority w:val="99"/>
    <w:semiHidden/>
    <w:unhideWhenUsed/>
    <w:rsid w:val="001B5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1B52C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766573">
      <w:bodyDiv w:val="1"/>
      <w:marLeft w:val="0"/>
      <w:marRight w:val="0"/>
      <w:marTop w:val="0"/>
      <w:marBottom w:val="0"/>
      <w:divBdr>
        <w:top w:val="none" w:sz="0" w:space="0" w:color="auto"/>
        <w:left w:val="none" w:sz="0" w:space="0" w:color="auto"/>
        <w:bottom w:val="none" w:sz="0" w:space="0" w:color="auto"/>
        <w:right w:val="none" w:sz="0" w:space="0" w:color="auto"/>
      </w:divBdr>
    </w:div>
    <w:div w:id="695811011">
      <w:bodyDiv w:val="1"/>
      <w:marLeft w:val="0"/>
      <w:marRight w:val="0"/>
      <w:marTop w:val="0"/>
      <w:marBottom w:val="0"/>
      <w:divBdr>
        <w:top w:val="none" w:sz="0" w:space="0" w:color="auto"/>
        <w:left w:val="none" w:sz="0" w:space="0" w:color="auto"/>
        <w:bottom w:val="none" w:sz="0" w:space="0" w:color="auto"/>
        <w:right w:val="none" w:sz="0" w:space="0" w:color="auto"/>
      </w:divBdr>
    </w:div>
    <w:div w:id="756024112">
      <w:bodyDiv w:val="1"/>
      <w:marLeft w:val="0"/>
      <w:marRight w:val="0"/>
      <w:marTop w:val="0"/>
      <w:marBottom w:val="0"/>
      <w:divBdr>
        <w:top w:val="none" w:sz="0" w:space="0" w:color="auto"/>
        <w:left w:val="none" w:sz="0" w:space="0" w:color="auto"/>
        <w:bottom w:val="none" w:sz="0" w:space="0" w:color="auto"/>
        <w:right w:val="none" w:sz="0" w:space="0" w:color="auto"/>
      </w:divBdr>
      <w:divsChild>
        <w:div w:id="2110659320">
          <w:marLeft w:val="0"/>
          <w:marRight w:val="0"/>
          <w:marTop w:val="0"/>
          <w:marBottom w:val="0"/>
          <w:divBdr>
            <w:top w:val="none" w:sz="0" w:space="0" w:color="auto"/>
            <w:left w:val="none" w:sz="0" w:space="0" w:color="auto"/>
            <w:bottom w:val="none" w:sz="0" w:space="0" w:color="auto"/>
            <w:right w:val="none" w:sz="0" w:space="0" w:color="auto"/>
          </w:divBdr>
          <w:divsChild>
            <w:div w:id="1028144756">
              <w:marLeft w:val="0"/>
              <w:marRight w:val="0"/>
              <w:marTop w:val="0"/>
              <w:marBottom w:val="0"/>
              <w:divBdr>
                <w:top w:val="none" w:sz="0" w:space="0" w:color="auto"/>
                <w:left w:val="none" w:sz="0" w:space="0" w:color="auto"/>
                <w:bottom w:val="none" w:sz="0" w:space="0" w:color="auto"/>
                <w:right w:val="none" w:sz="0" w:space="0" w:color="auto"/>
              </w:divBdr>
              <w:divsChild>
                <w:div w:id="138232621">
                  <w:marLeft w:val="-240"/>
                  <w:marRight w:val="-240"/>
                  <w:marTop w:val="0"/>
                  <w:marBottom w:val="0"/>
                  <w:divBdr>
                    <w:top w:val="none" w:sz="0" w:space="0" w:color="auto"/>
                    <w:left w:val="none" w:sz="0" w:space="0" w:color="auto"/>
                    <w:bottom w:val="none" w:sz="0" w:space="0" w:color="auto"/>
                    <w:right w:val="none" w:sz="0" w:space="0" w:color="auto"/>
                  </w:divBdr>
                  <w:divsChild>
                    <w:div w:id="685057140">
                      <w:marLeft w:val="0"/>
                      <w:marRight w:val="0"/>
                      <w:marTop w:val="0"/>
                      <w:marBottom w:val="0"/>
                      <w:divBdr>
                        <w:top w:val="none" w:sz="0" w:space="0" w:color="auto"/>
                        <w:left w:val="none" w:sz="0" w:space="0" w:color="auto"/>
                        <w:bottom w:val="none" w:sz="0" w:space="0" w:color="auto"/>
                        <w:right w:val="none" w:sz="0" w:space="0" w:color="auto"/>
                      </w:divBdr>
                      <w:divsChild>
                        <w:div w:id="2023361239">
                          <w:marLeft w:val="0"/>
                          <w:marRight w:val="0"/>
                          <w:marTop w:val="0"/>
                          <w:marBottom w:val="0"/>
                          <w:divBdr>
                            <w:top w:val="none" w:sz="0" w:space="0" w:color="auto"/>
                            <w:left w:val="none" w:sz="0" w:space="0" w:color="auto"/>
                            <w:bottom w:val="none" w:sz="0" w:space="0" w:color="auto"/>
                            <w:right w:val="none" w:sz="0" w:space="0" w:color="auto"/>
                          </w:divBdr>
                        </w:div>
                        <w:div w:id="1851872443">
                          <w:marLeft w:val="0"/>
                          <w:marRight w:val="0"/>
                          <w:marTop w:val="0"/>
                          <w:marBottom w:val="0"/>
                          <w:divBdr>
                            <w:top w:val="none" w:sz="0" w:space="0" w:color="auto"/>
                            <w:left w:val="none" w:sz="0" w:space="0" w:color="auto"/>
                            <w:bottom w:val="none" w:sz="0" w:space="0" w:color="auto"/>
                            <w:right w:val="none" w:sz="0" w:space="0" w:color="auto"/>
                          </w:divBdr>
                          <w:divsChild>
                            <w:div w:id="1654874028">
                              <w:marLeft w:val="165"/>
                              <w:marRight w:val="165"/>
                              <w:marTop w:val="0"/>
                              <w:marBottom w:val="0"/>
                              <w:divBdr>
                                <w:top w:val="none" w:sz="0" w:space="0" w:color="auto"/>
                                <w:left w:val="none" w:sz="0" w:space="0" w:color="auto"/>
                                <w:bottom w:val="none" w:sz="0" w:space="0" w:color="auto"/>
                                <w:right w:val="none" w:sz="0" w:space="0" w:color="auto"/>
                              </w:divBdr>
                              <w:divsChild>
                                <w:div w:id="45182396">
                                  <w:marLeft w:val="0"/>
                                  <w:marRight w:val="0"/>
                                  <w:marTop w:val="0"/>
                                  <w:marBottom w:val="0"/>
                                  <w:divBdr>
                                    <w:top w:val="none" w:sz="0" w:space="0" w:color="auto"/>
                                    <w:left w:val="none" w:sz="0" w:space="0" w:color="auto"/>
                                    <w:bottom w:val="none" w:sz="0" w:space="0" w:color="auto"/>
                                    <w:right w:val="none" w:sz="0" w:space="0" w:color="auto"/>
                                  </w:divBdr>
                                  <w:divsChild>
                                    <w:div w:id="199316962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4995183">
      <w:bodyDiv w:val="1"/>
      <w:marLeft w:val="0"/>
      <w:marRight w:val="0"/>
      <w:marTop w:val="0"/>
      <w:marBottom w:val="0"/>
      <w:divBdr>
        <w:top w:val="none" w:sz="0" w:space="0" w:color="auto"/>
        <w:left w:val="none" w:sz="0" w:space="0" w:color="auto"/>
        <w:bottom w:val="none" w:sz="0" w:space="0" w:color="auto"/>
        <w:right w:val="none" w:sz="0" w:space="0" w:color="auto"/>
      </w:divBdr>
    </w:div>
    <w:div w:id="1342468989">
      <w:bodyDiv w:val="1"/>
      <w:marLeft w:val="0"/>
      <w:marRight w:val="0"/>
      <w:marTop w:val="0"/>
      <w:marBottom w:val="0"/>
      <w:divBdr>
        <w:top w:val="none" w:sz="0" w:space="0" w:color="auto"/>
        <w:left w:val="none" w:sz="0" w:space="0" w:color="auto"/>
        <w:bottom w:val="none" w:sz="0" w:space="0" w:color="auto"/>
        <w:right w:val="none" w:sz="0" w:space="0" w:color="auto"/>
      </w:divBdr>
      <w:divsChild>
        <w:div w:id="1226263766">
          <w:marLeft w:val="0"/>
          <w:marRight w:val="0"/>
          <w:marTop w:val="0"/>
          <w:marBottom w:val="0"/>
          <w:divBdr>
            <w:top w:val="none" w:sz="0" w:space="0" w:color="auto"/>
            <w:left w:val="none" w:sz="0" w:space="0" w:color="auto"/>
            <w:bottom w:val="none" w:sz="0" w:space="0" w:color="auto"/>
            <w:right w:val="none" w:sz="0" w:space="0" w:color="auto"/>
          </w:divBdr>
          <w:divsChild>
            <w:div w:id="901331170">
              <w:marLeft w:val="0"/>
              <w:marRight w:val="0"/>
              <w:marTop w:val="0"/>
              <w:marBottom w:val="0"/>
              <w:divBdr>
                <w:top w:val="none" w:sz="0" w:space="0" w:color="auto"/>
                <w:left w:val="none" w:sz="0" w:space="0" w:color="auto"/>
                <w:bottom w:val="none" w:sz="0" w:space="0" w:color="auto"/>
                <w:right w:val="none" w:sz="0" w:space="0" w:color="auto"/>
              </w:divBdr>
              <w:divsChild>
                <w:div w:id="1991902546">
                  <w:marLeft w:val="-240"/>
                  <w:marRight w:val="-240"/>
                  <w:marTop w:val="0"/>
                  <w:marBottom w:val="0"/>
                  <w:divBdr>
                    <w:top w:val="none" w:sz="0" w:space="0" w:color="auto"/>
                    <w:left w:val="none" w:sz="0" w:space="0" w:color="auto"/>
                    <w:bottom w:val="none" w:sz="0" w:space="0" w:color="auto"/>
                    <w:right w:val="none" w:sz="0" w:space="0" w:color="auto"/>
                  </w:divBdr>
                  <w:divsChild>
                    <w:div w:id="1509905063">
                      <w:marLeft w:val="0"/>
                      <w:marRight w:val="0"/>
                      <w:marTop w:val="0"/>
                      <w:marBottom w:val="0"/>
                      <w:divBdr>
                        <w:top w:val="none" w:sz="0" w:space="0" w:color="auto"/>
                        <w:left w:val="none" w:sz="0" w:space="0" w:color="auto"/>
                        <w:bottom w:val="none" w:sz="0" w:space="0" w:color="auto"/>
                        <w:right w:val="none" w:sz="0" w:space="0" w:color="auto"/>
                      </w:divBdr>
                      <w:divsChild>
                        <w:div w:id="1877162307">
                          <w:marLeft w:val="0"/>
                          <w:marRight w:val="0"/>
                          <w:marTop w:val="0"/>
                          <w:marBottom w:val="0"/>
                          <w:divBdr>
                            <w:top w:val="none" w:sz="0" w:space="0" w:color="auto"/>
                            <w:left w:val="none" w:sz="0" w:space="0" w:color="auto"/>
                            <w:bottom w:val="none" w:sz="0" w:space="0" w:color="auto"/>
                            <w:right w:val="none" w:sz="0" w:space="0" w:color="auto"/>
                          </w:divBdr>
                        </w:div>
                        <w:div w:id="2062557165">
                          <w:marLeft w:val="0"/>
                          <w:marRight w:val="0"/>
                          <w:marTop w:val="0"/>
                          <w:marBottom w:val="0"/>
                          <w:divBdr>
                            <w:top w:val="none" w:sz="0" w:space="0" w:color="auto"/>
                            <w:left w:val="none" w:sz="0" w:space="0" w:color="auto"/>
                            <w:bottom w:val="none" w:sz="0" w:space="0" w:color="auto"/>
                            <w:right w:val="none" w:sz="0" w:space="0" w:color="auto"/>
                          </w:divBdr>
                          <w:divsChild>
                            <w:div w:id="710031844">
                              <w:marLeft w:val="165"/>
                              <w:marRight w:val="165"/>
                              <w:marTop w:val="0"/>
                              <w:marBottom w:val="0"/>
                              <w:divBdr>
                                <w:top w:val="none" w:sz="0" w:space="0" w:color="auto"/>
                                <w:left w:val="none" w:sz="0" w:space="0" w:color="auto"/>
                                <w:bottom w:val="none" w:sz="0" w:space="0" w:color="auto"/>
                                <w:right w:val="none" w:sz="0" w:space="0" w:color="auto"/>
                              </w:divBdr>
                              <w:divsChild>
                                <w:div w:id="1411269054">
                                  <w:marLeft w:val="0"/>
                                  <w:marRight w:val="0"/>
                                  <w:marTop w:val="0"/>
                                  <w:marBottom w:val="0"/>
                                  <w:divBdr>
                                    <w:top w:val="none" w:sz="0" w:space="0" w:color="auto"/>
                                    <w:left w:val="none" w:sz="0" w:space="0" w:color="auto"/>
                                    <w:bottom w:val="none" w:sz="0" w:space="0" w:color="auto"/>
                                    <w:right w:val="none" w:sz="0" w:space="0" w:color="auto"/>
                                  </w:divBdr>
                                  <w:divsChild>
                                    <w:div w:id="149475514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hp</cp:lastModifiedBy>
  <cp:revision>2</cp:revision>
  <dcterms:created xsi:type="dcterms:W3CDTF">2020-09-17T22:53:00Z</dcterms:created>
  <dcterms:modified xsi:type="dcterms:W3CDTF">2020-09-17T22:53:00Z</dcterms:modified>
</cp:coreProperties>
</file>